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br/>
      </w:r>
    </w:p>
    <w:p>
      <w:pPr>
        <w:pStyle w:val="Title"/>
        <w:jc w:val="center"/>
      </w:pPr>
      <w:r>
        <w:t>Private-car Performance Investigation</w:t>
      </w:r>
    </w:p>
    <w:p>
      <w:pPr>
        <w:jc w:val="center"/>
      </w:pPr>
      <w:r>
        <w:rPr>
          <w:b/>
          <w:sz w:val="28"/>
        </w:rPr>
        <w:t>Evidence, correction of the original measurement, and decision not to propose a patch</w:t>
      </w:r>
    </w:p>
    <w:p/>
    <w:tbl>
      <w:tblPr>
        <w:tblStyle w:val="TableGrid"/>
        <w:tblW w:type="auto" w:w="0"/>
        <w:jc w:val="center"/>
        <w:tblLook w:firstColumn="1" w:firstRow="1" w:lastColumn="0" w:lastRow="0" w:noHBand="0" w:noVBand="1" w:val="04A0"/>
      </w:tblPr>
      <w:tblGrid>
        <w:gridCol w:w="5040"/>
        <w:gridCol w:w="5040"/>
      </w:tblGrid>
      <w:tr>
        <w:tc>
          <w:tcPr>
            <w:tcW w:type="dxa" w:w="5040"/>
            <w:shd w:fill="E7E6E6"/>
            <w:vAlign w:val="center"/>
          </w:tcPr>
          <w:p>
            <w:r>
              <w:t>Project</w:t>
            </w:r>
          </w:p>
        </w:tc>
        <w:tc>
          <w:tcPr>
            <w:tcW w:type="dxa" w:w="5040"/>
            <w:vAlign w:val="center"/>
          </w:tcPr>
          <w:p>
            <w:r>
              <w:t>Simutrans Standard</w:t>
            </w:r>
          </w:p>
        </w:tc>
      </w:tr>
      <w:tr>
        <w:tc>
          <w:tcPr>
            <w:tcW w:type="dxa" w:w="5040"/>
            <w:shd w:fill="E7E6E6"/>
            <w:vAlign w:val="center"/>
          </w:tcPr>
          <w:p>
            <w:r>
              <w:t>Status</w:t>
            </w:r>
          </w:p>
        </w:tc>
        <w:tc>
          <w:tcPr>
            <w:tcW w:type="dxa" w:w="5040"/>
            <w:vAlign w:val="center"/>
          </w:tcPr>
          <w:p>
            <w:r>
              <w:t>CLOSED — real hotspot, no safe optimisation candidate</w:t>
            </w:r>
          </w:p>
        </w:tc>
      </w:tr>
      <w:tr>
        <w:tc>
          <w:tcPr>
            <w:tcW w:type="dxa" w:w="5040"/>
            <w:shd w:fill="E7E6E6"/>
            <w:vAlign w:val="center"/>
          </w:tcPr>
          <w:p>
            <w:r>
              <w:t>Scope</w:t>
            </w:r>
          </w:p>
        </w:tc>
        <w:tc>
          <w:tcPr>
            <w:tcW w:type="dxa" w:w="5040"/>
            <w:vAlign w:val="center"/>
          </w:tcPr>
          <w:p>
            <w:r>
              <w:t>private_car_t / city traffic performance</w:t>
            </w:r>
          </w:p>
        </w:tc>
      </w:tr>
      <w:tr>
        <w:tc>
          <w:tcPr>
            <w:tcW w:type="dxa" w:w="5040"/>
            <w:shd w:fill="E7E6E6"/>
            <w:vAlign w:val="center"/>
          </w:tcPr>
          <w:p>
            <w:r>
              <w:t>Prepared for</w:t>
            </w:r>
          </w:p>
        </w:tc>
        <w:tc>
          <w:tcPr>
            <w:tcW w:type="dxa" w:w="5040"/>
            <w:vAlign w:val="center"/>
          </w:tcPr>
          <w:p>
            <w:r>
              <w:t>Forum technical attachment</w:t>
            </w:r>
          </w:p>
        </w:tc>
      </w:tr>
    </w:tbl>
    <w:p/>
    <w:p>
      <w:pPr>
        <w:pStyle w:val="Callout"/>
        <w:jc w:val="center"/>
      </w:pPr>
      <w:r>
        <w:t>Final verdict: private_car_t is a real dominant cost in a sustained city-car workload, but its per-car cost is already small and no safe, local, behaviour-neutral optimisation candidate met the acceptance threshold.</w:t>
      </w:r>
    </w:p>
    <w:p>
      <w:r>
        <w:br w:type="page"/>
      </w:r>
    </w:p>
    <w:p>
      <w:pPr>
        <w:pStyle w:val="Heading1"/>
      </w:pPr>
      <w:r>
        <w:t>1. Executive summary</w:t>
      </w:r>
    </w:p>
    <w:p>
      <w:r>
        <w:t>The investigation produced two results that must be kept separate. In the original heavy512 save, the large private_car timer value was invalid because the save contained no sustained live city cars. A small number of exceptional stalls in the virtualised Shadow PC environment dominated the accumulated RDTSC total. In a purpose-built workload with sustained city traffic, private_car_t was then confirmed as a real and dominant cost.</w:t>
      </w:r>
    </w:p>
    <w:p>
      <w:pPr>
        <w:pStyle w:val="ListBullet"/>
        <w:spacing w:after="40"/>
      </w:pPr>
      <w:r>
        <w:t>The original claim that private_car represented roughly half of heavy512 is retracted.</w:t>
      </w:r>
    </w:p>
    <w:p>
      <w:pPr>
        <w:pStyle w:val="ListBullet"/>
        <w:spacing w:after="40"/>
      </w:pPr>
      <w:r>
        <w:t>The earlier freelist optimisation remains supported by its whole-run A/B benchmark, iterator-equivalence tests and unchanged route-call count.</w:t>
      </w:r>
    </w:p>
    <w:p>
      <w:pPr>
        <w:pStyle w:val="ListBullet"/>
        <w:spacing w:after="40"/>
      </w:pPr>
      <w:r>
        <w:t>A valid city-car workload showed about 270 live cars and approximately 5.4 million real sync calls per 20,000 steps.</w:t>
      </w:r>
    </w:p>
    <w:p>
      <w:pPr>
        <w:pStyle w:val="ListBullet"/>
        <w:spacing w:after="40"/>
      </w:pPr>
      <w:r>
        <w:t>private_car consumed about 500 Mcyc, around 80% of the measured sync work in that workload.</w:t>
      </w:r>
    </w:p>
    <w:p>
      <w:pPr>
        <w:pStyle w:val="ListBullet"/>
        <w:spacing w:after="40"/>
      </w:pPr>
      <w:r>
        <w:t>The unit cost was only about 93 cycles per car per step, indicating lean repeated work rather than a large local inefficiency.</w:t>
      </w:r>
    </w:p>
    <w:p>
      <w:pPr>
        <w:pStyle w:val="ListBullet"/>
        <w:spacing w:after="40"/>
      </w:pPr>
      <w:r>
        <w:t>The only small neutral candidate examined, welt-&gt;lookup(get_pos()), represented only about 0.5% of private_car and 0.4% globally.</w:t>
      </w:r>
    </w:p>
    <w:p>
      <w:pPr>
        <w:pStyle w:val="ListBullet"/>
        <w:spacing w:after="40"/>
      </w:pPr>
      <w:r>
        <w:t>No production patch is proposed.</w:t>
      </w:r>
    </w:p>
    <w:p>
      <w:pPr>
        <w:pStyle w:val="Heading1"/>
      </w:pPr>
      <w:r>
        <w:t>2. Status of the previous freelist patch</w:t>
      </w:r>
    </w:p>
    <w:p>
      <w:r>
        <w:t>The private-car audit does not invalidate the freelist patch. It invalidates only the earlier subsystem attribution involving private_car in heavy512. The evidence that remains relevant for the freelist change is the repeated whole-run A/B result, the standalone iterator-equivalence tests (including mutation of the live bitmap), preservation of ascending iteration order, unchanged route-call counts, and the independently revalidated moving-object reduction.</w:t>
      </w:r>
    </w:p>
    <w:p>
      <w:r>
        <w:drawing>
          <wp:inline xmlns:a="http://schemas.openxmlformats.org/drawingml/2006/main" xmlns:pic="http://schemas.openxmlformats.org/drawingml/2006/picture">
            <wp:extent cx="6217920" cy="3627120"/>
            <wp:docPr id="1" name="Picture 1"/>
            <wp:cNvGraphicFramePr>
              <a:graphicFrameLocks noChangeAspect="1"/>
            </wp:cNvGraphicFramePr>
            <a:graphic>
              <a:graphicData uri="http://schemas.openxmlformats.org/drawingml/2006/picture">
                <pic:pic>
                  <pic:nvPicPr>
                    <pic:cNvPr id="0" name="01_freelist_ab.png"/>
                    <pic:cNvPicPr/>
                  </pic:nvPicPr>
                  <pic:blipFill>
                    <a:blip r:embed="rId9"/>
                    <a:stretch>
                      <a:fillRect/>
                    </a:stretch>
                  </pic:blipFill>
                  <pic:spPr>
                    <a:xfrm>
                      <a:off x="0" y="0"/>
                      <a:ext cx="6217920" cy="3627120"/>
                    </a:xfrm>
                    <a:prstGeom prst="rect"/>
                  </pic:spPr>
                </pic:pic>
              </a:graphicData>
            </a:graphic>
          </wp:inline>
        </w:drawing>
      </w:r>
    </w:p>
    <w:p>
      <w:pPr>
        <w:jc w:val="center"/>
      </w:pPr>
      <w:r>
        <w:rPr>
          <w:i/>
          <w:sz w:val="18"/>
        </w:rPr>
        <w:t>Figure 1. Whole-run freelist A/B benchmark. Six runs per version; reported ranges do not overlap.</w:t>
      </w:r>
    </w:p>
    <w:p>
      <w:r>
        <w:t>The measured mean improved from 791 ms to 729 ms for the 50,000-step window (about 7.8% in this specific save and environment). This result should be presented as scenario-specific rather than universal.</w:t>
      </w:r>
    </w:p>
    <w:p>
      <w:pPr>
        <w:pStyle w:val="Heading1"/>
      </w:pPr>
      <w:r>
        <w:t>3. Why the original heavy512 private_car figure was invalid</w:t>
      </w:r>
    </w:p>
    <w:p>
      <w:r>
        <w:t>The original save had zero sustained live private_car_t objects. Only rare lifecycle events briefly made the freelist non-empty. The first timing bracket in those steps captured exceptional pauses of roughly 75 ms. Because the guest invariant TSC continues advancing while a virtual CPU is descheduled or while the virtualised memory path is serviced, those pauses were accumulated as if they were private-car computation.</w:t>
      </w:r>
    </w:p>
    <w:p>
      <w:r>
        <w:drawing>
          <wp:inline xmlns:a="http://schemas.openxmlformats.org/drawingml/2006/main" xmlns:pic="http://schemas.openxmlformats.org/drawingml/2006/picture">
            <wp:extent cx="6217920" cy="3799840"/>
            <wp:docPr id="2" name="Picture 2"/>
            <wp:cNvGraphicFramePr>
              <a:graphicFrameLocks noChangeAspect="1"/>
            </wp:cNvGraphicFramePr>
            <a:graphic>
              <a:graphicData uri="http://schemas.openxmlformats.org/drawingml/2006/picture">
                <pic:pic>
                  <pic:nvPicPr>
                    <pic:cNvPr id="0" name="02_heavy512_correlation.png"/>
                    <pic:cNvPicPr/>
                  </pic:nvPicPr>
                  <pic:blipFill>
                    <a:blip r:embed="rId10"/>
                    <a:stretch>
                      <a:fillRect/>
                    </a:stretch>
                  </pic:blipFill>
                  <pic:spPr>
                    <a:xfrm>
                      <a:off x="0" y="0"/>
                      <a:ext cx="6217920" cy="3799840"/>
                    </a:xfrm>
                    <a:prstGeom prst="rect"/>
                  </pic:spPr>
                </pic:pic>
              </a:graphicData>
            </a:graphic>
          </wp:inline>
        </w:drawing>
      </w:r>
    </w:p>
    <w:p>
      <w:pPr>
        <w:jc w:val="center"/>
      </w:pPr>
      <w:r>
        <w:rPr>
          <w:i/>
          <w:sz w:val="18"/>
        </w:rPr>
        <w:t>Figure 2. The accumulated timer scales exactly with exceptional samples and chunks walked, not with normal city-car work.</w:t>
      </w:r>
    </w:p>
    <w:p>
      <w:r>
        <w:drawing>
          <wp:inline xmlns:a="http://schemas.openxmlformats.org/drawingml/2006/main" xmlns:pic="http://schemas.openxmlformats.org/drawingml/2006/picture">
            <wp:extent cx="6217920" cy="3627120"/>
            <wp:docPr id="3" name="Picture 3"/>
            <wp:cNvGraphicFramePr>
              <a:graphicFrameLocks noChangeAspect="1"/>
            </wp:cNvGraphicFramePr>
            <a:graphic>
              <a:graphicData uri="http://schemas.openxmlformats.org/drawingml/2006/picture">
                <pic:pic>
                  <pic:nvPicPr>
                    <pic:cNvPr id="0" name="03_outlier_contribution.png"/>
                    <pic:cNvPicPr/>
                  </pic:nvPicPr>
                  <pic:blipFill>
                    <a:blip r:embed="rId11"/>
                    <a:stretch>
                      <a:fillRect/>
                    </a:stretch>
                  </pic:blipFill>
                  <pic:spPr>
                    <a:xfrm>
                      <a:off x="0" y="0"/>
                      <a:ext cx="6217920" cy="3627120"/>
                    </a:xfrm>
                    <a:prstGeom prst="rect"/>
                  </pic:spPr>
                </pic:pic>
              </a:graphicData>
            </a:graphic>
          </wp:inline>
        </w:drawing>
      </w:r>
    </w:p>
    <w:p>
      <w:pPr>
        <w:jc w:val="center"/>
      </w:pPr>
      <w:r>
        <w:rPr>
          <w:i/>
          <w:sz w:val="18"/>
        </w:rPr>
        <w:t>Figure 3. Two exceptional samples account for practically the entire 588 Mcyc total.</w:t>
      </w:r>
    </w:p>
    <w:p>
      <w:r>
        <w:t>The normal distribution had a median of 28 cycles and p99 of 56 cycles. There was no CPU migration (TSC_AUX remained stable) and no counter wrap. The decisive fact is that the number of giant samples matched the number of steps in which the freelist actually touched a chunk.</w:t>
      </w:r>
    </w:p>
    <w:p>
      <w:pPr>
        <w:pStyle w:val="Heading1"/>
      </w:pPr>
      <w:r>
        <w:t>4. Construction and validation of a real city-car workload</w:t>
      </w:r>
    </w:p>
    <w:p>
      <w:r>
        <w:t>The blocking configuration issue was identified: a fresh settings_t left stadtauto_duration at zero, so newly created city cars expired immediately. A test-only setter and controlled month stepping were used to create cartest2: a 256×256 map with 24 cities, traffic level 16, and a 120-month city-car life.</w:t>
      </w:r>
    </w:p>
    <w:p>
      <w:r>
        <w:drawing>
          <wp:inline xmlns:a="http://schemas.openxmlformats.org/drawingml/2006/main" xmlns:pic="http://schemas.openxmlformats.org/drawingml/2006/picture">
            <wp:extent cx="6217920" cy="3627120"/>
            <wp:docPr id="4" name="Picture 4"/>
            <wp:cNvGraphicFramePr>
              <a:graphicFrameLocks noChangeAspect="1"/>
            </wp:cNvGraphicFramePr>
            <a:graphic>
              <a:graphicData uri="http://schemas.openxmlformats.org/drawingml/2006/picture">
                <pic:pic>
                  <pic:nvPicPr>
                    <pic:cNvPr id="0" name="04_cartest_livecars.png"/>
                    <pic:cNvPicPr/>
                  </pic:nvPicPr>
                  <pic:blipFill>
                    <a:blip r:embed="rId12"/>
                    <a:stretch>
                      <a:fillRect/>
                    </a:stretch>
                  </pic:blipFill>
                  <pic:spPr>
                    <a:xfrm>
                      <a:off x="0" y="0"/>
                      <a:ext cx="6217920" cy="3627120"/>
                    </a:xfrm>
                    <a:prstGeom prst="rect"/>
                  </pic:spPr>
                </pic:pic>
              </a:graphicData>
            </a:graphic>
          </wp:inline>
        </w:drawing>
      </w:r>
    </w:p>
    <w:p>
      <w:pPr>
        <w:jc w:val="center"/>
      </w:pPr>
      <w:r>
        <w:rPr>
          <w:i/>
          <w:sz w:val="18"/>
        </w:rPr>
        <w:t>Figure 4. cartest2 maintained a stable population of city cars during the measurement window.</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D9EAD3"/>
          </w:tcPr>
          <w:p>
            <w:r>
              <w:t>Validation item</w:t>
            </w:r>
          </w:p>
        </w:tc>
        <w:tc>
          <w:tcPr>
            <w:tcW w:type="dxa" w:w="3360"/>
            <w:shd w:fill="D9EAD3"/>
          </w:tcPr>
          <w:p>
            <w:r>
              <w:t>Observed result</w:t>
            </w:r>
          </w:p>
        </w:tc>
        <w:tc>
          <w:tcPr>
            <w:tcW w:type="dxa" w:w="3360"/>
            <w:shd w:fill="D9EAD3"/>
          </w:tcPr>
          <w:p>
            <w:r>
              <w:t>Interpretation</w:t>
            </w:r>
          </w:p>
        </w:tc>
      </w:tr>
      <w:tr>
        <w:tc>
          <w:tcPr>
            <w:tcW w:type="dxa" w:w="3360"/>
          </w:tcPr>
          <w:p>
            <w:r>
              <w:t>Live cars</w:t>
            </w:r>
          </w:p>
        </w:tc>
        <w:tc>
          <w:tcPr>
            <w:tcW w:type="dxa" w:w="3360"/>
          </w:tcPr>
          <w:p>
            <w:r>
              <w:t>min 257 / avg ≈270 / max ≈300</w:t>
            </w:r>
          </w:p>
        </w:tc>
        <w:tc>
          <w:tcPr>
            <w:tcW w:type="dxa" w:w="3360"/>
          </w:tcPr>
          <w:p>
            <w:r>
              <w:t>Sustained workload</w:t>
            </w:r>
          </w:p>
        </w:tc>
      </w:tr>
      <w:tr>
        <w:tc>
          <w:tcPr>
            <w:tcW w:type="dxa" w:w="3360"/>
          </w:tcPr>
          <w:p>
            <w:r>
              <w:t>Runs</w:t>
            </w:r>
          </w:p>
        </w:tc>
        <w:tc>
          <w:tcPr>
            <w:tcW w:type="dxa" w:w="3360"/>
          </w:tcPr>
          <w:p>
            <w:r>
              <w:t>3 reproducible runs</w:t>
            </w:r>
          </w:p>
        </w:tc>
        <w:tc>
          <w:tcPr>
            <w:tcW w:type="dxa" w:w="3360"/>
          </w:tcPr>
          <w:p>
            <w:r>
              <w:t>Not a single-run observation</w:t>
            </w:r>
          </w:p>
        </w:tc>
      </w:tr>
      <w:tr>
        <w:tc>
          <w:tcPr>
            <w:tcW w:type="dxa" w:w="3360"/>
          </w:tcPr>
          <w:p>
            <w:r>
              <w:t>Sync calls</w:t>
            </w:r>
          </w:p>
        </w:tc>
        <w:tc>
          <w:tcPr>
            <w:tcW w:type="dxa" w:w="3360"/>
          </w:tcPr>
          <w:p>
            <w:r>
              <w:t>cars × 20,000 exactly</w:t>
            </w:r>
          </w:p>
        </w:tc>
        <w:tc>
          <w:tcPr>
            <w:tcW w:type="dxa" w:w="3360"/>
          </w:tcPr>
          <w:p>
            <w:r>
              <w:t>No double or triple execution</w:t>
            </w:r>
          </w:p>
        </w:tc>
      </w:tr>
      <w:tr>
        <w:tc>
          <w:tcPr>
            <w:tcW w:type="dxa" w:w="3360"/>
          </w:tcPr>
          <w:p>
            <w:r>
              <w:t>Calls per run</w:t>
            </w:r>
          </w:p>
        </w:tc>
        <w:tc>
          <w:tcPr>
            <w:tcW w:type="dxa" w:w="3360"/>
          </w:tcPr>
          <w:p>
            <w:r>
              <w:t>≈5.4 million</w:t>
            </w:r>
          </w:p>
        </w:tc>
        <w:tc>
          <w:tcPr>
            <w:tcW w:type="dxa" w:w="3360"/>
          </w:tcPr>
          <w:p>
            <w:r>
              <w:t>Large real sample</w:t>
            </w:r>
          </w:p>
        </w:tc>
      </w:tr>
      <w:tr>
        <w:tc>
          <w:tcPr>
            <w:tcW w:type="dxa" w:w="3360"/>
          </w:tcPr>
          <w:p>
            <w:r>
              <w:t>Timer behaviour</w:t>
            </w:r>
          </w:p>
        </w:tc>
        <w:tc>
          <w:tcPr>
            <w:tcW w:type="dxa" w:w="3360"/>
          </w:tcPr>
          <w:p>
            <w:r>
              <w:t>serialized ≈ plain; no VM outliers</w:t>
            </w:r>
          </w:p>
        </w:tc>
        <w:tc>
          <w:tcPr>
            <w:tcW w:type="dxa" w:w="3360"/>
          </w:tcPr>
          <w:p>
            <w:r>
              <w:t>Measured cost is genuine</w:t>
            </w:r>
          </w:p>
        </w:tc>
      </w:tr>
    </w:tbl>
    <w:p>
      <w:pPr>
        <w:pStyle w:val="Heading1"/>
      </w:pPr>
      <w:r>
        <w:t>5. What the valid workload shows</w:t>
      </w:r>
    </w:p>
    <w:p>
      <w:r>
        <w:t>In cartest2, private_car_t consumed approximately 502–541 Mcyc per 20,000 steps, around 80% of the measured sync work. The median was approximately 24,000 cycles per step, all samples were above 10,000 cycles, and the serialized and plain timers agreed. Unlike heavy512, this is stable repeated work.</w:t>
      </w:r>
    </w:p>
    <w:p>
      <w:r>
        <w:drawing>
          <wp:inline xmlns:a="http://schemas.openxmlformats.org/drawingml/2006/main" xmlns:pic="http://schemas.openxmlformats.org/drawingml/2006/picture">
            <wp:extent cx="6217920" cy="3713480"/>
            <wp:docPr id="5" name="Picture 5"/>
            <wp:cNvGraphicFramePr>
              <a:graphicFrameLocks noChangeAspect="1"/>
            </wp:cNvGraphicFramePr>
            <a:graphic>
              <a:graphicData uri="http://schemas.openxmlformats.org/drawingml/2006/picture">
                <pic:pic>
                  <pic:nvPicPr>
                    <pic:cNvPr id="0" name="05_cost_breakdown.png"/>
                    <pic:cNvPicPr/>
                  </pic:nvPicPr>
                  <pic:blipFill>
                    <a:blip r:embed="rId13"/>
                    <a:stretch>
                      <a:fillRect/>
                    </a:stretch>
                  </pic:blipFill>
                  <pic:spPr>
                    <a:xfrm>
                      <a:off x="0" y="0"/>
                      <a:ext cx="6217920" cy="3713480"/>
                    </a:xfrm>
                    <a:prstGeom prst="rect"/>
                  </pic:spPr>
                </pic:pic>
              </a:graphicData>
            </a:graphic>
          </wp:inline>
        </w:drawing>
      </w:r>
    </w:p>
    <w:p>
      <w:pPr>
        <w:jc w:val="center"/>
      </w:pPr>
      <w:r>
        <w:rPr>
          <w:i/>
          <w:sz w:val="18"/>
        </w:rPr>
        <w:t>Figure 5. Approximate private-car cost breakdown. do_drive dominates because it runs for nearly every car in every step.</w:t>
      </w:r>
    </w:p>
    <w:p>
      <w:r>
        <w:t>The aggregate cost is high because the operation is repeated millions of times. The unit cost is only about 93 cycles per car per step. The expensive route and interaction functions are called much less frequently, mainly when a vehicle crosses a tile. do_drive already exits early when no movement is needed.</w:t>
      </w:r>
    </w:p>
    <w:p>
      <w:pPr>
        <w:pStyle w:val="Heading1"/>
      </w:pPr>
      <w:r>
        <w:t>6. Candidate measured and rejected</w:t>
      </w:r>
    </w:p>
    <w:p>
      <w:r>
        <w:t>The candidate welt-&gt;lookup(get_pos()) was measured directly. It executed 102,951 times per 20,000 steps, all inside the three-way branch, representing roughly 34% of can_enter_tile calls. At about 25 cycles per lookup, its estimated total was approximately 2.6 Mcyc.</w:t>
      </w:r>
    </w:p>
    <w:p>
      <w:r>
        <w:drawing>
          <wp:inline xmlns:a="http://schemas.openxmlformats.org/drawingml/2006/main" xmlns:pic="http://schemas.openxmlformats.org/drawingml/2006/picture">
            <wp:extent cx="6217920" cy="3713480"/>
            <wp:docPr id="6" name="Picture 6"/>
            <wp:cNvGraphicFramePr>
              <a:graphicFrameLocks noChangeAspect="1"/>
            </wp:cNvGraphicFramePr>
            <a:graphic>
              <a:graphicData uri="http://schemas.openxmlformats.org/drawingml/2006/picture">
                <pic:pic>
                  <pic:nvPicPr>
                    <pic:cNvPr id="0" name="06_candidate_thresholds.png"/>
                    <pic:cNvPicPr/>
                  </pic:nvPicPr>
                  <pic:blipFill>
                    <a:blip r:embed="rId14"/>
                    <a:stretch>
                      <a:fillRect/>
                    </a:stretch>
                  </pic:blipFill>
                  <pic:spPr>
                    <a:xfrm>
                      <a:off x="0" y="0"/>
                      <a:ext cx="6217920" cy="3713480"/>
                    </a:xfrm>
                    <a:prstGeom prst="rect"/>
                  </pic:spPr>
                </pic:pic>
              </a:graphicData>
            </a:graphic>
          </wp:inline>
        </w:drawing>
      </w:r>
    </w:p>
    <w:p>
      <w:pPr>
        <w:jc w:val="center"/>
      </w:pPr>
      <w:r>
        <w:rPr>
          <w:i/>
          <w:sz w:val="18"/>
        </w:rPr>
        <w:t>Figure 6. The lookup candidate is an order of magnitude below the agreed acceptance thresholds.</w:t>
      </w:r>
    </w:p>
    <w:tbl>
      <w:tblPr>
        <w:tblStyle w:val="TableGrid"/>
        <w:tblW w:type="auto" w:w="0"/>
        <w:jc w:val="center"/>
        <w:tblLook w:firstColumn="1" w:firstRow="1" w:lastColumn="0" w:lastRow="0" w:noHBand="0" w:noVBand="1" w:val="04A0"/>
      </w:tblPr>
      <w:tblGrid>
        <w:gridCol w:w="5040"/>
        <w:gridCol w:w="5040"/>
      </w:tblGrid>
      <w:tr>
        <w:tc>
          <w:tcPr>
            <w:tcW w:type="dxa" w:w="5040"/>
            <w:shd w:fill="FCE5CD"/>
          </w:tcPr>
          <w:p>
            <w:r>
              <w:t>Criterion</w:t>
            </w:r>
          </w:p>
        </w:tc>
        <w:tc>
          <w:tcPr>
            <w:tcW w:type="dxa" w:w="5040"/>
            <w:shd w:fill="FCE5CD"/>
          </w:tcPr>
          <w:p>
            <w:r>
              <w:t>Result</w:t>
            </w:r>
          </w:p>
        </w:tc>
      </w:tr>
      <w:tr>
        <w:tc>
          <w:tcPr>
            <w:tcW w:type="dxa" w:w="5040"/>
          </w:tcPr>
          <w:p>
            <w:r>
              <w:t>Calls</w:t>
            </w:r>
          </w:p>
        </w:tc>
        <w:tc>
          <w:tcPr>
            <w:tcW w:type="dxa" w:w="5040"/>
          </w:tcPr>
          <w:p>
            <w:r>
              <w:t>102,951 / 20,000 steps</w:t>
            </w:r>
          </w:p>
        </w:tc>
      </w:tr>
      <w:tr>
        <w:tc>
          <w:tcPr>
            <w:tcW w:type="dxa" w:w="5040"/>
          </w:tcPr>
          <w:p>
            <w:r>
              <w:t>Estimated cost</w:t>
            </w:r>
          </w:p>
        </w:tc>
        <w:tc>
          <w:tcPr>
            <w:tcW w:type="dxa" w:w="5040"/>
          </w:tcPr>
          <w:p>
            <w:r>
              <w:t>≈2.6 Mcyc</w:t>
            </w:r>
          </w:p>
        </w:tc>
      </w:tr>
      <w:tr>
        <w:tc>
          <w:tcPr>
            <w:tcW w:type="dxa" w:w="5040"/>
          </w:tcPr>
          <w:p>
            <w:r>
              <w:t>Share of private_car</w:t>
            </w:r>
          </w:p>
        </w:tc>
        <w:tc>
          <w:tcPr>
            <w:tcW w:type="dxa" w:w="5040"/>
          </w:tcPr>
          <w:p>
            <w:r>
              <w:t>≈0.5%</w:t>
            </w:r>
          </w:p>
        </w:tc>
      </w:tr>
      <w:tr>
        <w:tc>
          <w:tcPr>
            <w:tcW w:type="dxa" w:w="5040"/>
          </w:tcPr>
          <w:p>
            <w:r>
              <w:t>Share of global sync</w:t>
            </w:r>
          </w:p>
        </w:tc>
        <w:tc>
          <w:tcPr>
            <w:tcW w:type="dxa" w:w="5040"/>
          </w:tcPr>
          <w:p>
            <w:r>
              <w:t>≈0.4%</w:t>
            </w:r>
          </w:p>
        </w:tc>
      </w:tr>
      <w:tr>
        <w:tc>
          <w:tcPr>
            <w:tcW w:type="dxa" w:w="5040"/>
          </w:tcPr>
          <w:p>
            <w:r>
              <w:t>Acceptance threshold</w:t>
            </w:r>
          </w:p>
        </w:tc>
        <w:tc>
          <w:tcPr>
            <w:tcW w:type="dxa" w:w="5040"/>
          </w:tcPr>
          <w:p>
            <w:r>
              <w:t>≥5% of private_car or ≥2% global</w:t>
            </w:r>
          </w:p>
        </w:tc>
      </w:tr>
      <w:tr>
        <w:tc>
          <w:tcPr>
            <w:tcW w:type="dxa" w:w="5040"/>
          </w:tcPr>
          <w:p>
            <w:r>
              <w:t>Hoisting risk</w:t>
            </w:r>
          </w:p>
        </w:tc>
        <w:tc>
          <w:tcPr>
            <w:tcW w:type="dxa" w:w="5040"/>
          </w:tcPr>
          <w:p>
            <w:r>
              <w:t>Would add the lookup to the ≈66% straight-road path that currently avoids it</w:t>
            </w:r>
          </w:p>
        </w:tc>
      </w:tr>
      <w:tr>
        <w:tc>
          <w:tcPr>
            <w:tcW w:type="dxa" w:w="5040"/>
          </w:tcPr>
          <w:p>
            <w:r>
              <w:t>Decision</w:t>
            </w:r>
          </w:p>
        </w:tc>
        <w:tc>
          <w:tcPr>
            <w:tcW w:type="dxa" w:w="5040"/>
          </w:tcPr>
          <w:p>
            <w:r>
              <w:t>Rejected</w:t>
            </w:r>
          </w:p>
        </w:tc>
      </w:tr>
    </w:tbl>
    <w:p>
      <w:pPr>
        <w:pStyle w:val="Heading1"/>
      </w:pPr>
      <w:r>
        <w:t>7. Why no private_car patch is proposed</w:t>
      </w:r>
    </w:p>
    <w:p>
      <w:r>
        <w:t>No small, safe, local and behaviour-neutral operation reached the agreed threshold. The remaining mass is inside do_drive and the tile-crossing/congestion logic. Changing those areas would no longer be a neutral micro-optimisation: it could alter timing, movement rounding, congestion, interaction order, determinism, savegame behaviour or multiplayer synchronisation.</w:t>
      </w:r>
    </w:p>
    <w:p>
      <w:pPr>
        <w:pStyle w:val="ListBullet"/>
        <w:spacing w:after="40"/>
      </w:pPr>
      <w:r>
        <w:t>Dominant aggregate cost does not automatically imply a local inefficiency.</w:t>
      </w:r>
    </w:p>
    <w:p>
      <w:pPr>
        <w:pStyle w:val="ListBullet"/>
        <w:spacing w:after="40"/>
      </w:pPr>
      <w:r>
        <w:t>A small per-object cost can become dominant when repeated millions of times.</w:t>
      </w:r>
    </w:p>
    <w:p>
      <w:pPr>
        <w:pStyle w:val="ListBullet"/>
        <w:spacing w:after="40"/>
      </w:pPr>
      <w:r>
        <w:t>Reducing update frequency, changing movement mathematics, batching vehicles or altering congestion rules would be architectural changes.</w:t>
      </w:r>
    </w:p>
    <w:p>
      <w:pPr>
        <w:pStyle w:val="ListBullet"/>
        <w:spacing w:after="40"/>
      </w:pPr>
      <w:r>
        <w:t>Architectural traffic changes require explicit maintainer interest and a separate functional investigation.</w:t>
      </w:r>
    </w:p>
    <w:p>
      <w:pPr>
        <w:pStyle w:val="ListBullet"/>
        <w:spacing w:after="40"/>
      </w:pPr>
      <w:r>
        <w:t>A documented stop is safer and more honest than forcing a patch whose benefit is below noise or whose semantics are uncertain.</w:t>
      </w:r>
    </w:p>
    <w:p>
      <w:pPr>
        <w:pStyle w:val="Callout"/>
      </w:pPr>
      <w:r>
        <w:t>Decision: CLOSED — real hotspot, no safe optimisation candidate.</w:t>
      </w:r>
    </w:p>
    <w:p>
      <w:pPr>
        <w:pStyle w:val="Heading1"/>
      </w:pPr>
      <w:r>
        <w:t>8. Reopening criteria</w:t>
      </w:r>
    </w:p>
    <w:p>
      <w:r>
        <w:t>This investigation should be reopened only if one of the following conditions is met:</w:t>
      </w:r>
    </w:p>
    <w:p>
      <w:pPr>
        <w:pStyle w:val="ListBullet"/>
        <w:spacing w:after="40"/>
      </w:pPr>
      <w:r>
        <w:t>A new, behaviour-neutral redundancy is measured at ≥5% of private_car or ≥2% of global sync cost.</w:t>
      </w:r>
    </w:p>
    <w:p>
      <w:pPr>
        <w:pStyle w:val="ListBullet"/>
        <w:spacing w:after="40"/>
      </w:pPr>
      <w:r>
        <w:t>A maintainer explicitly agrees to investigate architectural changes to the city-traffic model.</w:t>
      </w:r>
    </w:p>
    <w:p>
      <w:pPr>
        <w:pStyle w:val="Heading1"/>
      </w:pPr>
      <w:r>
        <w:t>9. Methodological lessons</w:t>
      </w:r>
    </w:p>
    <w:p>
      <w:pPr>
        <w:pStyle w:val="ListBullet"/>
        <w:spacing w:after="40"/>
      </w:pPr>
      <w:r>
        <w:t>A timing result must be crossed with a structural activity counter.</w:t>
      </w:r>
    </w:p>
    <w:p>
      <w:pPr>
        <w:pStyle w:val="ListBullet"/>
        <w:spacing w:after="40"/>
      </w:pPr>
      <w:r>
        <w:t>In a virtual machine, RDTSC measures elapsed guest time and can include vCPU steal or memory-service stalls.</w:t>
      </w:r>
    </w:p>
    <w:p>
      <w:pPr>
        <w:pStyle w:val="ListBullet"/>
        <w:spacing w:after="40"/>
      </w:pPr>
      <w:r>
        <w:t>Microtimers must report distributions and outliers, not only accumulated sums.</w:t>
      </w:r>
    </w:p>
    <w:p>
      <w:pPr>
        <w:pStyle w:val="ListBullet"/>
        <w:spacing w:after="40"/>
      </w:pPr>
      <w:r>
        <w:t>Timing every call in a loop of millions of tiny calls adds significant overhead; measure whole phases or sample 1-in-N.</w:t>
      </w:r>
    </w:p>
    <w:p>
      <w:pPr>
        <w:pStyle w:val="ListBullet"/>
        <w:spacing w:after="40"/>
      </w:pPr>
      <w:r>
        <w:t>A workload must contain sustained instances of the object being profiled.</w:t>
      </w:r>
    </w:p>
    <w:p>
      <w:pPr>
        <w:pStyle w:val="ListBullet"/>
        <w:spacing w:after="40"/>
      </w:pPr>
      <w:r>
        <w:t>A performance investigation can be successfully closed without a production patch.</w:t>
      </w:r>
    </w:p>
    <w:p>
      <w:pPr>
        <w:pStyle w:val="Heading1"/>
      </w:pPr>
      <w:r>
        <w:t>10. Evidence inventory and limitations</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D9D2E9"/>
          </w:tcPr>
          <w:p>
            <w:r>
              <w:t>Evidence</w:t>
            </w:r>
          </w:p>
        </w:tc>
        <w:tc>
          <w:tcPr>
            <w:tcW w:type="dxa" w:w="3360"/>
            <w:shd w:fill="D9D2E9"/>
          </w:tcPr>
          <w:p>
            <w:r>
              <w:t>Status</w:t>
            </w:r>
          </w:p>
        </w:tc>
        <w:tc>
          <w:tcPr>
            <w:tcW w:type="dxa" w:w="3360"/>
            <w:shd w:fill="D9D2E9"/>
          </w:tcPr>
          <w:p>
            <w:r>
              <w:t>Limitation</w:t>
            </w:r>
          </w:p>
        </w:tc>
      </w:tr>
      <w:tr>
        <w:tc>
          <w:tcPr>
            <w:tcW w:type="dxa" w:w="3360"/>
          </w:tcPr>
          <w:p>
            <w:r>
              <w:t>heavy512 timer audit</w:t>
            </w:r>
          </w:p>
        </w:tc>
        <w:tc>
          <w:tcPr>
            <w:tcW w:type="dxa" w:w="3360"/>
          </w:tcPr>
          <w:p>
            <w:r>
              <w:t>Confirmed artefact</w:t>
            </w:r>
          </w:p>
        </w:tc>
        <w:tc>
          <w:tcPr>
            <w:tcW w:type="dxa" w:w="3360"/>
          </w:tcPr>
          <w:p>
            <w:r>
              <w:t>Identifies invalid attribution, not the exact host-side stall source</w:t>
            </w:r>
          </w:p>
        </w:tc>
      </w:tr>
      <w:tr>
        <w:tc>
          <w:tcPr>
            <w:tcW w:type="dxa" w:w="3360"/>
          </w:tcPr>
          <w:p>
            <w:r>
              <w:t>cartest2 workload</w:t>
            </w:r>
          </w:p>
        </w:tc>
        <w:tc>
          <w:tcPr>
            <w:tcW w:type="dxa" w:w="3360"/>
          </w:tcPr>
          <w:p>
            <w:r>
              <w:t>Validated across 3 runs</w:t>
            </w:r>
          </w:p>
        </w:tc>
        <w:tc>
          <w:tcPr>
            <w:tcW w:type="dxa" w:w="3360"/>
          </w:tcPr>
          <w:p>
            <w:r>
              <w:t>Purpose-built stress workload, not a universal normal-game profile</w:t>
            </w:r>
          </w:p>
        </w:tc>
      </w:tr>
      <w:tr>
        <w:tc>
          <w:tcPr>
            <w:tcW w:type="dxa" w:w="3360"/>
          </w:tcPr>
          <w:p>
            <w:r>
              <w:t>private_car cost</w:t>
            </w:r>
          </w:p>
        </w:tc>
        <w:tc>
          <w:tcPr>
            <w:tcW w:type="dxa" w:w="3360"/>
          </w:tcPr>
          <w:p>
            <w:r>
              <w:t>Real and dominant in cartest2</w:t>
            </w:r>
          </w:p>
        </w:tc>
        <w:tc>
          <w:tcPr>
            <w:tcW w:type="dxa" w:w="3360"/>
          </w:tcPr>
          <w:p>
            <w:r>
              <w:t>Share depends on city-car population and map conditions</w:t>
            </w:r>
          </w:p>
        </w:tc>
      </w:tr>
      <w:tr>
        <w:tc>
          <w:tcPr>
            <w:tcW w:type="dxa" w:w="3360"/>
          </w:tcPr>
          <w:p>
            <w:r>
              <w:t>welt-&gt;lookup candidate</w:t>
            </w:r>
          </w:p>
        </w:tc>
        <w:tc>
          <w:tcPr>
            <w:tcW w:type="dxa" w:w="3360"/>
          </w:tcPr>
          <w:p>
            <w:r>
              <w:t>Measured and rejected</w:t>
            </w:r>
          </w:p>
        </w:tc>
        <w:tc>
          <w:tcPr>
            <w:tcW w:type="dxa" w:w="3360"/>
          </w:tcPr>
          <w:p>
            <w:r>
              <w:t>Estimate is sufficient for rejection; not proposed upstream</w:t>
            </w:r>
          </w:p>
        </w:tc>
      </w:tr>
      <w:tr>
        <w:tc>
          <w:tcPr>
            <w:tcW w:type="dxa" w:w="3360"/>
          </w:tcPr>
          <w:p>
            <w:r>
              <w:t>freelist whole-run A/B</w:t>
            </w:r>
          </w:p>
        </w:tc>
        <w:tc>
          <w:tcPr>
            <w:tcW w:type="dxa" w:w="3360"/>
          </w:tcPr>
          <w:p>
            <w:r>
              <w:t>Still relevant</w:t>
            </w:r>
          </w:p>
        </w:tc>
        <w:tc>
          <w:tcPr>
            <w:tcW w:type="dxa" w:w="3360"/>
          </w:tcPr>
          <w:p>
            <w:r>
              <w:t>Specific save, hardware and virtualised environment</w:t>
            </w:r>
          </w:p>
        </w:tc>
      </w:tr>
      <w:tr>
        <w:tc>
          <w:tcPr>
            <w:tcW w:type="dxa" w:w="3360"/>
          </w:tcPr>
          <w:p>
            <w:r>
              <w:t>instrumentation</w:t>
            </w:r>
          </w:p>
        </w:tc>
        <w:tc>
          <w:tcPr>
            <w:tcW w:type="dxa" w:w="3360"/>
          </w:tcPr>
          <w:p>
            <w:r>
              <w:t>Test-only</w:t>
            </w:r>
          </w:p>
        </w:tc>
        <w:tc>
          <w:tcPr>
            <w:tcW w:type="dxa" w:w="3360"/>
          </w:tcPr>
          <w:p>
            <w:r>
              <w:t>Not suitable for upstream inclusion</w:t>
            </w:r>
          </w:p>
        </w:tc>
      </w:tr>
    </w:tbl>
    <w:p/>
    <w:p>
      <w:pPr>
        <w:jc w:val="center"/>
      </w:pPr>
      <w:r>
        <w:rPr>
          <w:i/>
        </w:rPr>
        <w:t>End of report</w:t>
      </w:r>
    </w:p>
    <w:sectPr w:rsidR="00FC693F" w:rsidRPr="0006063C" w:rsidSect="00034616">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pPr>
      <w:spacing w:before="120" w:after="120"/>
    </w:pPr>
    <w:rPr>
      <w:rFonts w:ascii="Aptos" w:hAnsi="Aptos"/>
      <w:b/>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